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60"/>
      </w:pPr>
      <w:r>
        <w:rPr>
          <w:rFonts w:ascii="Arial" w:cs="Arial" w:eastAsia="Arial" w:hAnsi="Arial"/>
          <w:b/>
          <w:bCs/>
          <w:color w:val="1D5C66"/>
          <w:sz w:val="40"/>
          <w:szCs w:val="40"/>
        </w:rPr>
        <w:t xml:space="preserve">Wind management plan</w:t>
      </w:r>
    </w:p>
    <w:tbl>
      <w:tblPr>
        <w:tblW w:type="dxa" w:w="9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57"/>
        <w:gridCol w:w="1414"/>
        <w:gridCol w:w="1414"/>
        <w:gridCol w:w="1414"/>
      </w:tblGrid>
      <w:tr>
        <w:trPr>
          <w:trHeight w:val="90" w:hRule="exact"/>
        </w:trPr>
        <w:tc>
          <w:tcPr>
            <w:tcW w:type="dxa" w:w="5657"/>
            <w:shd w:fill="2F6E57" w:color="auto" w:val="clear"/>
          </w:tcPr>
          <w:p/>
        </w:tc>
        <w:tc>
          <w:tcPr>
            <w:tcW w:type="dxa" w:w="1414"/>
            <w:shd w:fill="FFDD00" w:color="auto" w:val="clear"/>
          </w:tcPr>
          <w:p/>
        </w:tc>
        <w:tc>
          <w:tcPr>
            <w:tcW w:type="dxa" w:w="1414"/>
            <w:shd w:fill="F59A00" w:color="auto" w:val="clear"/>
          </w:tcPr>
          <w:p/>
        </w:tc>
        <w:tc>
          <w:tcPr>
            <w:tcW w:type="dxa" w:w="1414"/>
            <w:shd w:fill="D62718" w:color="auto" w:val="clear"/>
          </w:tcPr>
          <w:p/>
        </w:tc>
      </w:tr>
    </w:tbl>
    <w:p>
      <w:pPr>
        <w:spacing w:after="160"/>
      </w:pPr>
    </w:p>
    <w:tbl>
      <w:tblPr>
        <w:tblW w:type="dxa" w:w="9900"/>
        <w:tblBorders>
          <w:top w:val="single" w:color="CBD5D7" w:sz="4"/>
          <w:left w:val="single" w:color="CBD5D7" w:sz="4"/>
          <w:bottom w:val="single" w:color="CBD5D7" w:sz="4"/>
          <w:right w:val="single" w:color="CBD5D7" w:sz="4"/>
          <w:insideH w:val="single" w:color="CBD5D7" w:sz="4"/>
          <w:insideV w:val="single" w:color="CBD5D7" w:sz="4"/>
        </w:tblBorders>
        <w:tblLayout w:type="fixed"/>
      </w:tblPr>
      <w:tblGrid>
        <w:gridCol w:w="3300"/>
        <w:gridCol w:w="6600"/>
      </w:tblGrid>
      <w:tr>
        <w:trPr>
          <w:cantSplit/>
        </w:trPr>
        <w:tc>
          <w:tcPr>
            <w:tcW w:type="dxa" w:w="3300"/>
            <w:tcMar>
              <w:top w:type="dxa" w:w="60"/>
              <w:left w:type="dxa" w:w="100"/>
              <w:bottom w:type="dxa" w:w="60"/>
              <w:right w:type="dxa" w:w="100"/>
            </w:tcMar>
          </w:tcPr>
          <w:p>
            <w:r>
              <w:rPr>
                <w:rFonts w:ascii="Arial" w:cs="Arial" w:eastAsia="Arial" w:hAnsi="Arial"/>
                <w:b/>
                <w:bCs/>
                <w:color w:val="142226"/>
                <w:sz w:val="18"/>
                <w:szCs w:val="18"/>
              </w:rPr>
              <w:t xml:space="preserve">Event</w:t>
            </w:r>
          </w:p>
        </w:tc>
        <w:tc>
          <w:tcPr>
            <w:tcW w:type="dxa" w:w="66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bCs/>
                <w:color w:val="142226"/>
                <w:sz w:val="18"/>
                <w:szCs w:val="18"/>
              </w:rPr>
              <w:t xml:space="preserve">Site</w:t>
            </w:r>
          </w:p>
        </w:tc>
        <w:tc>
          <w:tcPr>
            <w:tcW w:type="dxa" w:w="66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bCs/>
                <w:color w:val="142226"/>
                <w:sz w:val="18"/>
                <w:szCs w:val="18"/>
              </w:rPr>
              <w:t xml:space="preserve">Dates open</w:t>
            </w:r>
          </w:p>
        </w:tc>
        <w:tc>
          <w:tcPr>
            <w:tcW w:type="dxa" w:w="66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bCs/>
                <w:color w:val="142226"/>
                <w:sz w:val="18"/>
                <w:szCs w:val="18"/>
              </w:rPr>
              <w:t xml:space="preserve">Build starts</w:t>
            </w:r>
          </w:p>
        </w:tc>
        <w:tc>
          <w:tcPr>
            <w:tcW w:type="dxa" w:w="66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bCs/>
                <w:color w:val="142226"/>
                <w:sz w:val="18"/>
                <w:szCs w:val="18"/>
              </w:rPr>
              <w:t xml:space="preserve">Derig ends</w:t>
            </w:r>
          </w:p>
        </w:tc>
        <w:tc>
          <w:tcPr>
            <w:tcW w:type="dxa" w:w="66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bCs/>
                <w:color w:val="142226"/>
                <w:sz w:val="18"/>
                <w:szCs w:val="18"/>
              </w:rPr>
              <w:t xml:space="preserve">Plan version and date</w:t>
            </w:r>
          </w:p>
        </w:tc>
        <w:tc>
          <w:tcPr>
            <w:tcW w:type="dxa" w:w="66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bl>
    <w:p>
      <w:pPr>
        <w:spacing w:after="120"/>
      </w:pPr>
    </w:p>
    <w:p>
      <w:pPr>
        <w:spacing w:after="120" w:before="120"/>
      </w:pPr>
      <w:r>
        <w:rPr>
          <w:rFonts w:ascii="Arial" w:cs="Arial" w:eastAsia="Arial" w:hAnsi="Arial"/>
          <w:i/>
          <w:iCs/>
          <w:color w:val="4A5A5F"/>
          <w:sz w:val="18"/>
          <w:szCs w:val="18"/>
        </w:rPr>
        <w:t xml:space="preserve">A blank template from Gustline. Fill in every ____, check each figure against your own certificates and manuals and adapt it to your site before you rely on it or share it. A forecast is an early warning. The reading on site on the day is the one this plan acts on.</w:t>
      </w:r>
    </w:p>
    <w:p>
      <w:pPr>
        <w:pStyle w:val="Heading1"/>
        <w:spacing w:after="120" w:before="360"/>
      </w:pPr>
      <w:r>
        <w:rPr>
          <w:rFonts w:ascii="Arial" w:cs="Arial" w:eastAsia="Arial" w:hAnsi="Arial"/>
          <w:b/>
          <w:bCs/>
          <w:color w:val="1D5C66"/>
          <w:sz w:val="28"/>
          <w:szCs w:val="28"/>
        </w:rPr>
        <w:t xml:space="preserve">1. Purpose and scope</w:t>
      </w:r>
    </w:p>
    <w:p>
      <w:pPr>
        <w:spacing w:after="120"/>
      </w:pPr>
      <w:r>
        <w:rPr>
          <w:rFonts w:ascii="Arial" w:cs="Arial" w:eastAsia="Arial" w:hAnsi="Arial"/>
          <w:color w:val="142226"/>
          <w:sz w:val="21"/>
          <w:szCs w:val="21"/>
        </w:rPr>
        <w:t xml:space="preserve">This plan sets out how wind is watched and acted on at the event, from the start of the build to the end of the derig. Hastings Borough Council's event management plan template asks for weather forecasts to be monitored continually from installation to the end of derig.</w:t>
      </w:r>
    </w:p>
    <w:p>
      <w:pPr>
        <w:pStyle w:val="Heading1"/>
        <w:spacing w:after="120" w:before="360"/>
      </w:pPr>
      <w:r>
        <w:rPr>
          <w:rFonts w:ascii="Arial" w:cs="Arial" w:eastAsia="Arial" w:hAnsi="Arial"/>
          <w:b/>
          <w:bCs/>
          <w:color w:val="1D5C66"/>
          <w:sz w:val="28"/>
          <w:szCs w:val="28"/>
        </w:rPr>
        <w:t xml:space="preserve">2. Who decides</w:t>
      </w:r>
    </w:p>
    <w:p>
      <w:pPr>
        <w:spacing w:after="120"/>
      </w:pPr>
      <w:r>
        <w:rPr>
          <w:rFonts w:ascii="Arial" w:cs="Arial" w:eastAsia="Arial" w:hAnsi="Arial"/>
          <w:color w:val="142226"/>
          <w:sz w:val="21"/>
          <w:szCs w:val="21"/>
        </w:rPr>
        <w:t xml:space="preserve">Bute Park says a competent person must monitor the plan against the operating limits of each structure. Name who makes the call and who stands in when they are off site.</w:t>
      </w:r>
    </w:p>
    <w:tbl>
      <w:tblPr>
        <w:tblW w:type="dxa" w:w="9900"/>
        <w:tblBorders>
          <w:top w:val="single" w:color="CBD5D7" w:sz="4"/>
          <w:left w:val="single" w:color="CBD5D7" w:sz="4"/>
          <w:bottom w:val="single" w:color="CBD5D7" w:sz="4"/>
          <w:right w:val="single" w:color="CBD5D7" w:sz="4"/>
          <w:insideH w:val="single" w:color="CBD5D7" w:sz="4"/>
          <w:insideV w:val="single" w:color="CBD5D7" w:sz="4"/>
        </w:tblBorders>
        <w:tblLayout w:type="fixed"/>
      </w:tblPr>
      <w:tblGrid>
        <w:gridCol w:w="3300"/>
        <w:gridCol w:w="3300"/>
        <w:gridCol w:w="3300"/>
      </w:tblGrid>
      <w:tr>
        <w:trPr>
          <w:tblHeader/>
        </w:trPr>
        <w:tc>
          <w:tcPr>
            <w:tcW w:type="dxa" w:w="330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Role</w:t>
            </w:r>
          </w:p>
        </w:tc>
        <w:tc>
          <w:tcPr>
            <w:tcW w:type="dxa" w:w="330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Name</w:t>
            </w:r>
          </w:p>
        </w:tc>
        <w:tc>
          <w:tcPr>
            <w:tcW w:type="dxa" w:w="330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Mobile</w:t>
            </w:r>
          </w:p>
        </w:tc>
      </w:tr>
      <w:tr>
        <w:trPr>
          <w:cantSplit/>
        </w:trPr>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Makes wind decisions (competent person)</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Stands in when they are off site</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Safety officer</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Structure contractor contact</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33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bl>
    <w:p>
      <w:pPr>
        <w:spacing w:after="120"/>
      </w:pPr>
    </w:p>
    <w:p>
      <w:pPr>
        <w:pStyle w:val="Heading1"/>
        <w:spacing w:after="120" w:before="360"/>
      </w:pPr>
      <w:r>
        <w:rPr>
          <w:rFonts w:ascii="Arial" w:cs="Arial" w:eastAsia="Arial" w:hAnsi="Arial"/>
          <w:b/>
          <w:bCs/>
          <w:color w:val="1D5C66"/>
          <w:sz w:val="28"/>
          <w:szCs w:val="28"/>
        </w:rPr>
        <w:t xml:space="preserve">3. Structures and their limits</w:t>
      </w:r>
    </w:p>
    <w:p>
      <w:pPr>
        <w:spacing w:after="120"/>
      </w:pPr>
      <w:r>
        <w:rPr>
          <w:rFonts w:ascii="Arial" w:cs="Arial" w:eastAsia="Arial" w:hAnsi="Arial"/>
          <w:color w:val="142226"/>
          <w:sz w:val="21"/>
          <w:szCs w:val="21"/>
        </w:rPr>
        <w:t xml:space="preserve">Each structure has its own gust limit, taken from its design certificate, its manual or the market's policy. HSE says no inflatable should be used in winds above 24mph and its manual may give less. ADIPS warns that a structure able to withstand a wind speed cannot always be operated with people on it at that speed.</w:t>
      </w:r>
    </w:p>
    <w:tbl>
      <w:tblPr>
        <w:tblW w:type="dxa" w:w="9900"/>
        <w:tblBorders>
          <w:top w:val="single" w:color="CBD5D7" w:sz="4"/>
          <w:left w:val="single" w:color="CBD5D7" w:sz="4"/>
          <w:bottom w:val="single" w:color="CBD5D7" w:sz="4"/>
          <w:right w:val="single" w:color="CBD5D7" w:sz="4"/>
          <w:insideH w:val="single" w:color="CBD5D7" w:sz="4"/>
          <w:insideV w:val="single" w:color="CBD5D7" w:sz="4"/>
        </w:tblBorders>
        <w:tblLayout w:type="fixed"/>
      </w:tblPr>
      <w:tblGrid>
        <w:gridCol w:w="1980"/>
        <w:gridCol w:w="1980"/>
        <w:gridCol w:w="1980"/>
        <w:gridCol w:w="1980"/>
        <w:gridCol w:w="1980"/>
      </w:tblGrid>
      <w:tr>
        <w:trPr>
          <w:tblHeader/>
        </w:trPr>
        <w:tc>
          <w:tcPr>
            <w:tcW w:type="dxa" w:w="198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Structure</w:t>
            </w:r>
          </w:p>
        </w:tc>
        <w:tc>
          <w:tcPr>
            <w:tcW w:type="dxa" w:w="198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Type</w:t>
            </w:r>
          </w:p>
        </w:tc>
        <w:tc>
          <w:tcPr>
            <w:tcW w:type="dxa" w:w="198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Gust limit</w:t>
            </w:r>
          </w:p>
        </w:tc>
        <w:tc>
          <w:tcPr>
            <w:tcW w:type="dxa" w:w="198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Where the limit comes from</w:t>
            </w:r>
          </w:p>
        </w:tc>
        <w:tc>
          <w:tcPr>
            <w:tcW w:type="dxa" w:w="198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Gustline yellow alert from</w:t>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bl>
    <w:p>
      <w:pPr>
        <w:spacing w:after="120"/>
      </w:pPr>
    </w:p>
    <w:p>
      <w:pPr>
        <w:pStyle w:val="Heading1"/>
        <w:spacing w:after="120" w:before="360"/>
      </w:pPr>
      <w:r>
        <w:rPr>
          <w:rFonts w:ascii="Arial" w:cs="Arial" w:eastAsia="Arial" w:hAnsi="Arial"/>
          <w:b/>
          <w:bCs/>
          <w:color w:val="1D5C66"/>
          <w:sz w:val="28"/>
          <w:szCs w:val="28"/>
        </w:rPr>
        <w:t xml:space="preserve">4. Action levels</w:t>
      </w:r>
    </w:p>
    <w:p>
      <w:pPr>
        <w:spacing w:after="120"/>
      </w:pPr>
      <w:r>
        <w:rPr>
          <w:rFonts w:ascii="Arial" w:cs="Arial" w:eastAsia="Arial" w:hAnsi="Arial"/>
          <w:color w:val="142226"/>
          <w:sz w:val="21"/>
          <w:szCs w:val="21"/>
        </w:rPr>
        <w:t xml:space="preserve">Bute Park asks for the action to be taken at 60% and 80% of each structure's maximum wind load capacity. It asks for action before any operating limit is exceeded. For a site with many structures ADIPS suggests one matrix of every threshold and agreed tiers for the whole event, so the public get one consistent decision.</w:t>
      </w:r>
    </w:p>
    <w:tbl>
      <w:tblPr>
        <w:tblW w:type="dxa" w:w="9900"/>
        <w:tblBorders>
          <w:top w:val="single" w:color="CBD5D7" w:sz="4"/>
          <w:left w:val="single" w:color="CBD5D7" w:sz="4"/>
          <w:bottom w:val="single" w:color="CBD5D7" w:sz="4"/>
          <w:right w:val="single" w:color="CBD5D7" w:sz="4"/>
          <w:insideH w:val="single" w:color="CBD5D7" w:sz="4"/>
          <w:insideV w:val="single" w:color="CBD5D7" w:sz="4"/>
        </w:tblBorders>
        <w:tblLayout w:type="fixed"/>
      </w:tblPr>
      <w:tblGrid>
        <w:gridCol w:w="2475"/>
        <w:gridCol w:w="2475"/>
        <w:gridCol w:w="2475"/>
        <w:gridCol w:w="2475"/>
      </w:tblGrid>
      <w:tr>
        <w:trPr>
          <w:tblHeader/>
        </w:trPr>
        <w:tc>
          <w:tcPr>
            <w:tcW w:type="dxa" w:w="2475"/>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Level</w:t>
            </w:r>
          </w:p>
        </w:tc>
        <w:tc>
          <w:tcPr>
            <w:tcW w:type="dxa" w:w="2475"/>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Trigger (measured gust)</w:t>
            </w:r>
          </w:p>
        </w:tc>
        <w:tc>
          <w:tcPr>
            <w:tcW w:type="dxa" w:w="2475"/>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Actions</w:t>
            </w:r>
          </w:p>
        </w:tc>
        <w:tc>
          <w:tcPr>
            <w:tcW w:type="dxa" w:w="2475"/>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Who decides</w:t>
            </w:r>
          </w:p>
        </w:tc>
      </w:tr>
      <w:tr>
        <w:trPr>
          <w:cantSplit/>
        </w:trPr>
        <w:tc>
          <w:tcPr>
            <w:tcW w:type="dxa" w:w="2475"/>
            <w:shd w:fill="FFDD00" w:color="auto" w:val="clear"/>
            <w:tcMar>
              <w:top w:type="dxa" w:w="60"/>
              <w:left w:type="dxa" w:w="100"/>
              <w:bottom w:type="dxa" w:w="60"/>
              <w:right w:type="dxa" w:w="100"/>
            </w:tcMar>
          </w:tcPr>
          <w:p>
            <w:r>
              <w:rPr>
                <w:rFonts w:ascii="Arial" w:cs="Arial" w:eastAsia="Arial" w:hAnsi="Arial"/>
                <w:b/>
                <w:bCs/>
                <w:color w:val="1D1B00"/>
                <w:sz w:val="18"/>
                <w:szCs w:val="18"/>
              </w:rPr>
              <w:t xml:space="preserve">1: watch</w:t>
            </w:r>
          </w:p>
        </w:tc>
        <w:tc>
          <w:tcPr>
            <w:tcW w:type="dxa" w:w="2475"/>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2475"/>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2475"/>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2475"/>
            <w:shd w:fill="F59A00" w:color="auto" w:val="clear"/>
            <w:tcMar>
              <w:top w:type="dxa" w:w="60"/>
              <w:left w:type="dxa" w:w="100"/>
              <w:bottom w:type="dxa" w:w="60"/>
              <w:right w:type="dxa" w:w="100"/>
            </w:tcMar>
          </w:tcPr>
          <w:p>
            <w:r>
              <w:rPr>
                <w:rFonts w:ascii="Arial" w:cs="Arial" w:eastAsia="Arial" w:hAnsi="Arial"/>
                <w:b/>
                <w:bCs/>
                <w:color w:val="1F1300"/>
                <w:sz w:val="18"/>
                <w:szCs w:val="18"/>
              </w:rPr>
              <w:t xml:space="preserve">2: prepare</w:t>
            </w:r>
          </w:p>
        </w:tc>
        <w:tc>
          <w:tcPr>
            <w:tcW w:type="dxa" w:w="2475"/>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2475"/>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2475"/>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2475"/>
            <w:shd w:fill="D62718" w:color="auto" w:val="clear"/>
            <w:tcMar>
              <w:top w:type="dxa" w:w="60"/>
              <w:left w:type="dxa" w:w="100"/>
              <w:bottom w:type="dxa" w:w="60"/>
              <w:right w:type="dxa" w:w="100"/>
            </w:tcMar>
          </w:tcPr>
          <w:p>
            <w:r>
              <w:rPr>
                <w:rFonts w:ascii="Arial" w:cs="Arial" w:eastAsia="Arial" w:hAnsi="Arial"/>
                <w:b/>
                <w:bCs/>
                <w:color w:val="FFFFFF"/>
                <w:sz w:val="18"/>
                <w:szCs w:val="18"/>
              </w:rPr>
              <w:t xml:space="preserve">3: stop and clear</w:t>
            </w:r>
          </w:p>
        </w:tc>
        <w:tc>
          <w:tcPr>
            <w:tcW w:type="dxa" w:w="2475"/>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2475"/>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2475"/>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bl>
    <w:p>
      <w:pPr>
        <w:spacing w:after="120"/>
      </w:pPr>
    </w:p>
    <w:p>
      <w:pPr>
        <w:spacing w:after="120"/>
      </w:pPr>
      <w:r>
        <w:rPr>
          <w:rFonts w:ascii="Arial" w:cs="Arial" w:eastAsia="Arial" w:hAnsi="Arial"/>
          <w:color w:val="142226"/>
          <w:sz w:val="21"/>
          <w:szCs w:val="21"/>
        </w:rPr>
        <w:t xml:space="preserve">Two published examples show how levels are written. Each is an example for its own event, not a standard to copy.</w:t>
      </w:r>
    </w:p>
    <w:p>
      <w:pPr>
        <w:pStyle w:val="ListParagraph"/>
        <w:numPr>
          <w:ilvl w:val="0"/>
          <w:numId w:val="1"/>
        </w:numPr>
        <w:spacing w:after="60"/>
      </w:pPr>
      <w:r>
        <w:rPr>
          <w:rFonts w:ascii="Arial" w:cs="Arial" w:eastAsia="Arial" w:hAnsi="Arial"/>
          <w:color w:val="142226"/>
          <w:sz w:val="20"/>
          <w:szCs w:val="20"/>
        </w:rPr>
        <w:t xml:space="preserve">ADIPS, level 1: gusts over 8 m/s (18mph) with the wind rising. Staff go on alert, flags, scrims and signage may be lowered and anchorage points are checked.</w:t>
      </w:r>
    </w:p>
    <w:p>
      <w:pPr>
        <w:pStyle w:val="ListParagraph"/>
        <w:numPr>
          <w:ilvl w:val="0"/>
          <w:numId w:val="1"/>
        </w:numPr>
        <w:spacing w:after="60"/>
      </w:pPr>
      <w:r>
        <w:rPr>
          <w:rFonts w:ascii="Arial" w:cs="Arial" w:eastAsia="Arial" w:hAnsi="Arial"/>
          <w:color w:val="142226"/>
          <w:sz w:val="20"/>
          <w:szCs w:val="20"/>
        </w:rPr>
        <w:t xml:space="preserve">ADIPS, level 2: gusts over 9.83 m/s (22mph) with the wind rising. All staff are warned that rides may have to close and inflatables are evacuated safely and deflated.</w:t>
      </w:r>
    </w:p>
    <w:p>
      <w:pPr>
        <w:pStyle w:val="ListParagraph"/>
        <w:numPr>
          <w:ilvl w:val="0"/>
          <w:numId w:val="1"/>
        </w:numPr>
        <w:spacing w:after="60"/>
      </w:pPr>
      <w:r>
        <w:rPr>
          <w:rFonts w:ascii="Arial" w:cs="Arial" w:eastAsia="Arial" w:hAnsi="Arial"/>
          <w:color w:val="142226"/>
          <w:sz w:val="20"/>
          <w:szCs w:val="20"/>
        </w:rPr>
        <w:t xml:space="preserve">Merton: 12 to 18 m/s (27 to 40mph) checked every 30 minutes, 18 to 22 m/s (40 to 49mph) every 15 minutes and over 22 m/s (49mph) monitored constantly, with site evacuation at that level.</w:t>
      </w:r>
    </w:p>
    <w:p>
      <w:pPr>
        <w:pStyle w:val="Heading1"/>
        <w:spacing w:after="120" w:before="360"/>
      </w:pPr>
      <w:r>
        <w:rPr>
          <w:rFonts w:ascii="Arial" w:cs="Arial" w:eastAsia="Arial" w:hAnsi="Arial"/>
          <w:b/>
          <w:bCs/>
          <w:color w:val="1D5C66"/>
          <w:sz w:val="28"/>
          <w:szCs w:val="28"/>
        </w:rPr>
        <w:t xml:space="preserve">5. How wind is watched</w:t>
      </w:r>
    </w:p>
    <w:p>
      <w:pPr>
        <w:spacing w:after="120"/>
      </w:pPr>
      <w:r>
        <w:rPr>
          <w:rFonts w:ascii="Arial" w:cs="Arial" w:eastAsia="Arial" w:hAnsi="Arial"/>
          <w:color w:val="142226"/>
          <w:sz w:val="21"/>
          <w:szCs w:val="21"/>
        </w:rPr>
        <w:t xml:space="preserve">Forecast: name the forecast service, who checks it and how often, from the start of the build. ____</w:t>
      </w:r>
    </w:p>
    <w:p>
      <w:pPr>
        <w:spacing w:after="120"/>
      </w:pPr>
      <w:r>
        <w:rPr>
          <w:rFonts w:ascii="Arial" w:cs="Arial" w:eastAsia="Arial" w:hAnsi="Arial"/>
          <w:color w:val="142226"/>
          <w:sz w:val="21"/>
          <w:szCs w:val="21"/>
        </w:rPr>
        <w:t xml:space="preserve">On site: ADIPS says each controller should have a working anemometer and the safety manager should record wind speeds through each day, more often as the risk rises. Hastings asks for an anemometer to monitor wind throughout.</w:t>
      </w:r>
    </w:p>
    <w:tbl>
      <w:tblPr>
        <w:tblW w:type="dxa" w:w="9900"/>
        <w:tblBorders>
          <w:top w:val="single" w:color="CBD5D7" w:sz="4"/>
          <w:left w:val="single" w:color="CBD5D7" w:sz="4"/>
          <w:bottom w:val="single" w:color="CBD5D7" w:sz="4"/>
          <w:right w:val="single" w:color="CBD5D7" w:sz="4"/>
          <w:insideH w:val="single" w:color="CBD5D7" w:sz="4"/>
          <w:insideV w:val="single" w:color="CBD5D7" w:sz="4"/>
        </w:tblBorders>
        <w:tblLayout w:type="fixed"/>
      </w:tblPr>
      <w:tblGrid>
        <w:gridCol w:w="3300"/>
        <w:gridCol w:w="6600"/>
      </w:tblGrid>
      <w:tr>
        <w:trPr>
          <w:tblHeader/>
        </w:trPr>
        <w:tc>
          <w:tcPr>
            <w:tcW w:type="dxa" w:w="330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On-site measurement</w:t>
            </w:r>
          </w:p>
        </w:tc>
        <w:tc>
          <w:tcPr>
            <w:tcW w:type="dxa" w:w="660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
            </w:r>
          </w:p>
        </w:tc>
      </w:tr>
      <w:tr>
        <w:trPr>
          <w:cantSplit/>
        </w:trPr>
        <w:tc>
          <w:tcPr>
            <w:tcW w:type="dxa" w:w="3300"/>
            <w:tcMar>
              <w:top w:type="dxa" w:w="60"/>
              <w:left w:type="dxa" w:w="100"/>
              <w:bottom w:type="dxa" w:w="60"/>
              <w:right w:type="dxa" w:w="100"/>
            </w:tcMar>
          </w:tcPr>
          <w:p>
            <w:r>
              <w:rPr>
                <w:rFonts w:ascii="Arial" w:cs="Arial" w:eastAsia="Arial" w:hAnsi="Arial"/>
                <w:b/>
                <w:bCs/>
                <w:color w:val="142226"/>
                <w:sz w:val="18"/>
                <w:szCs w:val="18"/>
              </w:rPr>
              <w:t xml:space="preserve">Anemometer make and model</w:t>
            </w:r>
          </w:p>
        </w:tc>
        <w:tc>
          <w:tcPr>
            <w:tcW w:type="dxa" w:w="66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bCs/>
                <w:color w:val="142226"/>
                <w:sz w:val="18"/>
                <w:szCs w:val="18"/>
              </w:rPr>
              <w:t xml:space="preserve">Where it is mounted and at what height</w:t>
            </w:r>
          </w:p>
        </w:tc>
        <w:tc>
          <w:tcPr>
            <w:tcW w:type="dxa" w:w="66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bCs/>
                <w:color w:val="142226"/>
                <w:sz w:val="18"/>
                <w:szCs w:val="18"/>
              </w:rPr>
              <w:t xml:space="preserve">How often readings are taken at each level</w:t>
            </w:r>
          </w:p>
        </w:tc>
        <w:tc>
          <w:tcPr>
            <w:tcW w:type="dxa" w:w="66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3300"/>
            <w:tcMar>
              <w:top w:type="dxa" w:w="60"/>
              <w:left w:type="dxa" w:w="100"/>
              <w:bottom w:type="dxa" w:w="60"/>
              <w:right w:type="dxa" w:w="100"/>
            </w:tcMar>
          </w:tcPr>
          <w:p>
            <w:r>
              <w:rPr>
                <w:rFonts w:ascii="Arial" w:cs="Arial" w:eastAsia="Arial" w:hAnsi="Arial"/>
                <w:b/>
                <w:bCs/>
                <w:color w:val="142226"/>
                <w:sz w:val="18"/>
                <w:szCs w:val="18"/>
              </w:rPr>
              <w:t xml:space="preserve">Who records them</w:t>
            </w:r>
          </w:p>
        </w:tc>
        <w:tc>
          <w:tcPr>
            <w:tcW w:type="dxa" w:w="660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bl>
    <w:p>
      <w:pPr>
        <w:spacing w:after="120"/>
      </w:pPr>
    </w:p>
    <w:p>
      <w:pPr>
        <w:pStyle w:val="Heading1"/>
        <w:spacing w:after="120" w:before="360"/>
      </w:pPr>
      <w:r>
        <w:rPr>
          <w:rFonts w:ascii="Arial" w:cs="Arial" w:eastAsia="Arial" w:hAnsi="Arial"/>
          <w:b/>
          <w:bCs/>
          <w:color w:val="1D5C66"/>
          <w:sz w:val="28"/>
          <w:szCs w:val="28"/>
        </w:rPr>
        <w:t xml:space="preserve">6. Other weather this plan covers</w:t>
      </w:r>
    </w:p>
    <w:tbl>
      <w:tblPr>
        <w:tblW w:type="dxa" w:w="9900"/>
        <w:tblBorders>
          <w:top w:val="single" w:color="CBD5D7" w:sz="4"/>
          <w:left w:val="single" w:color="CBD5D7" w:sz="4"/>
          <w:bottom w:val="single" w:color="CBD5D7" w:sz="4"/>
          <w:right w:val="single" w:color="CBD5D7" w:sz="4"/>
          <w:insideH w:val="single" w:color="CBD5D7" w:sz="4"/>
          <w:insideV w:val="single" w:color="CBD5D7" w:sz="4"/>
        </w:tblBorders>
        <w:tblLayout w:type="fixed"/>
      </w:tblPr>
      <w:tblGrid>
        <w:gridCol w:w="4950"/>
        <w:gridCol w:w="4950"/>
      </w:tblGrid>
      <w:tr>
        <w:trPr>
          <w:tblHeader/>
        </w:trPr>
        <w:tc>
          <w:tcPr>
            <w:tcW w:type="dxa" w:w="495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Weather</w:t>
            </w:r>
          </w:p>
        </w:tc>
        <w:tc>
          <w:tcPr>
            <w:tcW w:type="dxa" w:w="495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Gustline alerts when</w:t>
            </w:r>
          </w:p>
        </w:tc>
      </w:tr>
      <w:tr>
        <w:trPr>
          <w:cantSplit/>
        </w:trPr>
        <w:tc>
          <w:tcPr>
            <w:tcW w:type="dxa" w:w="495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495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495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495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r>
        <w:trPr>
          <w:cantSplit/>
        </w:trPr>
        <w:tc>
          <w:tcPr>
            <w:tcW w:type="dxa" w:w="495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c>
          <w:tcPr>
            <w:tcW w:type="dxa" w:w="4950"/>
            <w:tcMar>
              <w:top w:type="dxa" w:w="60"/>
              <w:left w:type="dxa" w:w="100"/>
              <w:bottom w:type="dxa" w:w="60"/>
              <w:right w:type="dxa" w:w="100"/>
            </w:tcMar>
          </w:tcPr>
          <w:p>
            <w:r>
              <w:rPr>
                <w:rFonts w:ascii="Arial" w:cs="Arial" w:eastAsia="Arial" w:hAnsi="Arial"/>
                <w:b w:val="false"/>
                <w:bCs w:val="false"/>
                <w:color w:val="142226"/>
                <w:sz w:val="18"/>
                <w:szCs w:val="18"/>
              </w:rPr>
              <w:t xml:space="preserve">____</w:t>
            </w:r>
          </w:p>
        </w:tc>
      </w:tr>
    </w:tbl>
    <w:p>
      <w:pPr>
        <w:spacing w:after="120"/>
      </w:pPr>
    </w:p>
    <w:p>
      <w:pPr>
        <w:pStyle w:val="Heading1"/>
        <w:spacing w:after="120" w:before="360"/>
      </w:pPr>
      <w:r>
        <w:rPr>
          <w:rFonts w:ascii="Arial" w:cs="Arial" w:eastAsia="Arial" w:hAnsi="Arial"/>
          <w:b/>
          <w:bCs/>
          <w:color w:val="1D5C66"/>
          <w:sz w:val="28"/>
          <w:szCs w:val="28"/>
        </w:rPr>
        <w:t xml:space="preserve">7. Build and derig</w:t>
      </w:r>
    </w:p>
    <w:p>
      <w:pPr>
        <w:spacing w:after="120"/>
      </w:pPr>
      <w:r>
        <w:rPr>
          <w:rFonts w:ascii="Arial" w:cs="Arial" w:eastAsia="Arial" w:hAnsi="Arial"/>
          <w:color w:val="142226"/>
          <w:sz w:val="21"/>
          <w:szCs w:val="21"/>
        </w:rPr>
        <w:t xml:space="preserve">Merton's example stops the use of access equipment and roof climbing if gusts become continuous above 12 m/s (27mph). Write the limits for your build crew here: ____</w:t>
      </w:r>
    </w:p>
    <w:p>
      <w:pPr>
        <w:pStyle w:val="Heading1"/>
        <w:spacing w:after="120" w:before="360"/>
      </w:pPr>
      <w:r>
        <w:rPr>
          <w:rFonts w:ascii="Arial" w:cs="Arial" w:eastAsia="Arial" w:hAnsi="Arial"/>
          <w:b/>
          <w:bCs/>
          <w:color w:val="1D5C66"/>
          <w:sz w:val="28"/>
          <w:szCs w:val="28"/>
        </w:rPr>
        <w:t xml:space="preserve">8. Evacuation and contingency</w:t>
      </w:r>
    </w:p>
    <w:p>
      <w:pPr>
        <w:spacing w:after="120"/>
      </w:pPr>
      <w:r>
        <w:rPr>
          <w:rFonts w:ascii="Arial" w:cs="Arial" w:eastAsia="Arial" w:hAnsi="Arial"/>
          <w:color w:val="142226"/>
          <w:sz w:val="21"/>
          <w:szCs w:val="21"/>
        </w:rPr>
        <w:t xml:space="preserve">Hastings asks for a contingency plan for evacuating structures or the site and for appropriate ballasting of gazebos, marquees and other temporary structures. Describe yours, including how traders and the public are told: ____</w:t>
      </w:r>
    </w:p>
    <w:p>
      <w:pPr>
        <w:pStyle w:val="Heading1"/>
        <w:spacing w:after="120" w:before="360"/>
      </w:pPr>
      <w:r>
        <w:rPr>
          <w:rFonts w:ascii="Arial" w:cs="Arial" w:eastAsia="Arial" w:hAnsi="Arial"/>
          <w:b/>
          <w:bCs/>
          <w:color w:val="1D5C66"/>
          <w:sz w:val="28"/>
          <w:szCs w:val="28"/>
        </w:rPr>
        <w:t xml:space="preserve">Appendix A: Wind log</w:t>
      </w:r>
    </w:p>
    <w:p>
      <w:pPr>
        <w:spacing w:after="120"/>
      </w:pPr>
      <w:r>
        <w:rPr>
          <w:rFonts w:ascii="Arial" w:cs="Arial" w:eastAsia="Arial" w:hAnsi="Arial"/>
          <w:color w:val="142226"/>
          <w:sz w:val="21"/>
          <w:szCs w:val="21"/>
        </w:rPr>
        <w:t xml:space="preserve">ADIPS says forecasts and the gusts actually reached should be logged in a documented wind measurement log book. Record each reading and what was done.</w:t>
      </w:r>
    </w:p>
    <w:tbl>
      <w:tblPr>
        <w:tblW w:type="dxa" w:w="9900"/>
        <w:tblBorders>
          <w:top w:val="single" w:color="CBD5D7" w:sz="4"/>
          <w:left w:val="single" w:color="CBD5D7" w:sz="4"/>
          <w:bottom w:val="single" w:color="CBD5D7" w:sz="4"/>
          <w:right w:val="single" w:color="CBD5D7" w:sz="4"/>
          <w:insideH w:val="single" w:color="CBD5D7" w:sz="4"/>
          <w:insideV w:val="single" w:color="CBD5D7" w:sz="4"/>
        </w:tblBorders>
        <w:tblLayout w:type="fixed"/>
      </w:tblPr>
      <w:tblGrid>
        <w:gridCol w:w="1980"/>
        <w:gridCol w:w="1980"/>
        <w:gridCol w:w="1980"/>
        <w:gridCol w:w="1980"/>
        <w:gridCol w:w="1980"/>
      </w:tblGrid>
      <w:tr>
        <w:trPr>
          <w:tblHeader/>
        </w:trPr>
        <w:tc>
          <w:tcPr>
            <w:tcW w:type="dxa" w:w="198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Date and time</w:t>
            </w:r>
          </w:p>
        </w:tc>
        <w:tc>
          <w:tcPr>
            <w:tcW w:type="dxa" w:w="198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Measured gust</w:t>
            </w:r>
          </w:p>
        </w:tc>
        <w:tc>
          <w:tcPr>
            <w:tcW w:type="dxa" w:w="198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Level</w:t>
            </w:r>
          </w:p>
        </w:tc>
        <w:tc>
          <w:tcPr>
            <w:tcW w:type="dxa" w:w="198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Action taken</w:t>
            </w:r>
          </w:p>
        </w:tc>
        <w:tc>
          <w:tcPr>
            <w:tcW w:type="dxa" w:w="1980"/>
            <w:shd w:fill="1D5C66" w:color="auto" w:val="clear"/>
            <w:tcMar>
              <w:top w:type="dxa" w:w="60"/>
              <w:left w:type="dxa" w:w="100"/>
              <w:bottom w:type="dxa" w:w="60"/>
              <w:right w:type="dxa" w:w="100"/>
            </w:tcMar>
          </w:tcPr>
          <w:p>
            <w:r>
              <w:rPr>
                <w:rFonts w:ascii="Arial" w:cs="Arial" w:eastAsia="Arial" w:hAnsi="Arial"/>
                <w:b/>
                <w:bCs/>
                <w:color w:val="FFFFFF"/>
                <w:sz w:val="18"/>
                <w:szCs w:val="18"/>
              </w:rPr>
              <w:t xml:space="preserve">Initials</w:t>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r>
      <w:tr>
        <w:trPr>
          <w:cantSplit/>
        </w:trPr>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c>
          <w:tcPr>
            <w:tcW w:type="dxa" w:w="1980"/>
            <w:tcMar>
              <w:top w:type="dxa" w:w="60"/>
              <w:left w:type="dxa" w:w="100"/>
              <w:bottom w:type="dxa" w:w="60"/>
              <w:right w:type="dxa" w:w="100"/>
            </w:tcMar>
          </w:tcPr>
          <w:p>
            <w:r>
              <w:rPr>
                <w:rFonts w:ascii="Arial" w:cs="Arial" w:eastAsia="Arial" w:hAnsi="Arial"/>
                <w:b w:val="false"/>
                <w:bCs w:val="false"/>
                <w:color w:val="142226"/>
                <w:sz w:val="18"/>
                <w:szCs w:val="18"/>
              </w:rPr>
              <w:t xml:space="preserve"/>
            </w:r>
          </w:p>
        </w:tc>
      </w:tr>
    </w:tbl>
    <w:p>
      <w:pPr>
        <w:spacing w:after="120"/>
      </w:pPr>
    </w:p>
    <w:p>
      <w:pPr>
        <w:pStyle w:val="Heading1"/>
        <w:spacing w:after="120" w:before="360"/>
      </w:pPr>
      <w:r>
        <w:rPr>
          <w:rFonts w:ascii="Arial" w:cs="Arial" w:eastAsia="Arial" w:hAnsi="Arial"/>
          <w:b/>
          <w:bCs/>
          <w:color w:val="1D5C66"/>
          <w:sz w:val="28"/>
          <w:szCs w:val="28"/>
        </w:rPr>
        <w:t xml:space="preserve">Sources</w:t>
      </w:r>
    </w:p>
    <w:p>
      <w:pPr>
        <w:pStyle w:val="ListParagraph"/>
        <w:numPr>
          <w:ilvl w:val="0"/>
          <w:numId w:val="1"/>
        </w:numPr>
        <w:spacing w:after="60"/>
      </w:pPr>
      <w:r>
        <w:rPr>
          <w:rFonts w:ascii="Arial" w:cs="Arial" w:eastAsia="Arial" w:hAnsi="Arial"/>
          <w:color w:val="142226"/>
          <w:sz w:val="20"/>
          <w:szCs w:val="20"/>
        </w:rPr>
        <w:t xml:space="preserve">Bute Park, Cardiff: Event guide: wind management plan. https://bute-park.com/event_guide/wind/</w:t>
      </w:r>
    </w:p>
    <w:p>
      <w:pPr>
        <w:pStyle w:val="ListParagraph"/>
        <w:numPr>
          <w:ilvl w:val="0"/>
          <w:numId w:val="1"/>
        </w:numPr>
        <w:spacing w:after="60"/>
      </w:pPr>
      <w:r>
        <w:rPr>
          <w:rFonts w:ascii="Arial" w:cs="Arial" w:eastAsia="Arial" w:hAnsi="Arial"/>
          <w:color w:val="142226"/>
          <w:sz w:val="20"/>
          <w:szCs w:val="20"/>
        </w:rPr>
        <w:t xml:space="preserve">ADIPS: Safety Bulletin SB 001-24: message to controllers about high winds, 29 November 2024. https://adips.co.uk/wp-content/uploads/2024/12/SAFETY-BULLETIN_windy-conditions_1.pdf</w:t>
      </w:r>
    </w:p>
    <w:p>
      <w:pPr>
        <w:pStyle w:val="ListParagraph"/>
        <w:numPr>
          <w:ilvl w:val="0"/>
          <w:numId w:val="1"/>
        </w:numPr>
        <w:spacing w:after="60"/>
      </w:pPr>
      <w:r>
        <w:rPr>
          <w:rFonts w:ascii="Arial" w:cs="Arial" w:eastAsia="Arial" w:hAnsi="Arial"/>
          <w:color w:val="142226"/>
          <w:sz w:val="20"/>
          <w:szCs w:val="20"/>
        </w:rPr>
        <w:t xml:space="preserve">Merton Council: Appendix N: Wind Management Plan, Diynamic Festival London, 2018. https://merton.moderngov.co.uk/documents/s23686/Appendix%20N%20-%20Wind%20Management%20Plan.pdf</w:t>
      </w:r>
    </w:p>
    <w:p>
      <w:pPr>
        <w:pStyle w:val="ListParagraph"/>
        <w:numPr>
          <w:ilvl w:val="0"/>
          <w:numId w:val="1"/>
        </w:numPr>
        <w:spacing w:after="60"/>
      </w:pPr>
      <w:r>
        <w:rPr>
          <w:rFonts w:ascii="Arial" w:cs="Arial" w:eastAsia="Arial" w:hAnsi="Arial"/>
          <w:color w:val="142226"/>
          <w:sz w:val="20"/>
          <w:szCs w:val="20"/>
        </w:rPr>
        <w:t xml:space="preserve">Hastings Borough Council: Event management plan template and guidance notes, version 7. https://www.hastings.gov.uk/content/manager/HBC_EMP_template_and_guidance_notes_V7.pdf</w:t>
      </w:r>
    </w:p>
    <w:p>
      <w:pPr>
        <w:pStyle w:val="ListParagraph"/>
        <w:numPr>
          <w:ilvl w:val="0"/>
          <w:numId w:val="1"/>
        </w:numPr>
        <w:spacing w:after="60"/>
      </w:pPr>
      <w:r>
        <w:rPr>
          <w:rFonts w:ascii="Arial" w:cs="Arial" w:eastAsia="Arial" w:hAnsi="Arial"/>
          <w:color w:val="142226"/>
          <w:sz w:val="20"/>
          <w:szCs w:val="20"/>
        </w:rPr>
        <w:t xml:space="preserve">MUTA: Best Practice Guide 2026. https://www.muta.org.uk/wp-content/uploads/2025/12/MUTAs-Best-Practice-Guide_2026.pdf</w:t>
      </w:r>
    </w:p>
    <w:p>
      <w:pPr>
        <w:pStyle w:val="ListParagraph"/>
        <w:numPr>
          <w:ilvl w:val="0"/>
          <w:numId w:val="1"/>
        </w:numPr>
        <w:spacing w:after="60"/>
      </w:pPr>
      <w:r>
        <w:rPr>
          <w:rFonts w:ascii="Arial" w:cs="Arial" w:eastAsia="Arial" w:hAnsi="Arial"/>
          <w:color w:val="142226"/>
          <w:sz w:val="20"/>
          <w:szCs w:val="20"/>
        </w:rPr>
        <w:t xml:space="preserve">Health and Safety Executive: Inflatable play equipment guidance. https://www.hse.gov.uk/entertainment/fairgrounds/inflatables.htm</w:t>
      </w:r>
    </w:p>
    <w:p>
      <w:pPr>
        <w:spacing w:after="120" w:before="120"/>
      </w:pPr>
      <w:r>
        <w:rPr>
          <w:rFonts w:ascii="Arial" w:cs="Arial" w:eastAsia="Arial" w:hAnsi="Arial"/>
          <w:i/>
          <w:iCs/>
          <w:color w:val="4A5A5F"/>
          <w:sz w:val="18"/>
          <w:szCs w:val="18"/>
        </w:rPr>
        <w:t xml:space="preserve">Made with Gustline, gustline.co.uk.</w:t>
      </w:r>
    </w:p>
    <w:sectPr>
      <w:headerReference w:type="default" r:id="rId6"/>
      <w:footerReference w:type="default" r:id="rId7"/>
      <w:pgSz w:w="11906" w:h="16838" w:orient="portrait"/>
      <w:pgMar w:top="1100" w:right="1000" w:bottom="1000" w:left="10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4A5A5F"/>
        <w:sz w:val="16"/>
        <w:szCs w:val="16"/>
      </w:rPr>
      <w:t xml:space="preserve">Wind management plan template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047750" cy="228600"/>
          <wp:effectExtent t="0" r="0" b="0" l="0"/>
          <wp:docPr id="2" name="Gustline" descr="Gustline" title="Gus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286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528405b6a02c1aced1e25bf54570d1a8cf734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 management plan template</dc:title>
  <dc:creator>Gustline</dc:creator>
  <cp:lastModifiedBy>Un-named</cp:lastModifiedBy>
  <cp:revision>1</cp:revision>
  <dcterms:created xsi:type="dcterms:W3CDTF">2026-10-15T09:04:25.388Z</dcterms:created>
  <dcterms:modified xsi:type="dcterms:W3CDTF">2026-10-15T09:04:25.388Z</dcterms:modified>
</cp:coreProperties>
</file>

<file path=docProps/custom.xml><?xml version="1.0" encoding="utf-8"?>
<Properties xmlns="http://schemas.openxmlformats.org/officeDocument/2006/custom-properties" xmlns:vt="http://schemas.openxmlformats.org/officeDocument/2006/docPropsVTypes"/>
</file>